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A4011" w14:textId="73E3C93F" w:rsidR="004E2B31" w:rsidRPr="00AF3EDA" w:rsidRDefault="0097711E" w:rsidP="00D0597D">
      <w:pPr>
        <w:spacing w:after="0"/>
        <w:jc w:val="both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292C2F"/>
          <w:kern w:val="0"/>
          <w:szCs w:val="28"/>
          <w:lang w:eastAsia="ru-RU"/>
          <w14:ligatures w14:val="none"/>
        </w:rPr>
        <w:t xml:space="preserve">      </w:t>
      </w:r>
      <w:r w:rsidR="001E0D3A">
        <w:rPr>
          <w:rFonts w:eastAsia="Times New Roman" w:cs="Times New Roman"/>
          <w:b/>
          <w:bCs/>
          <w:color w:val="292C2F"/>
          <w:kern w:val="0"/>
          <w:szCs w:val="28"/>
          <w:lang w:eastAsia="ru-RU"/>
          <w14:ligatures w14:val="none"/>
        </w:rPr>
        <w:t xml:space="preserve"> </w:t>
      </w:r>
      <w:r w:rsidR="004E2B31" w:rsidRPr="00AF3EDA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Каждый гражданин может владеть недвижимым имуществом, в том числе земельным участком и расположенным на нем жилым домом. Чтобы иметь право распоряжаться этим имуществом (продавать, дарить, передавать по наследству), зарегистрироваться по месту жительства для получения социального обслуживания, льгот, субсидий</w:t>
      </w:r>
      <w:r w:rsidR="00800586" w:rsidRPr="00AF3EDA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)</w:t>
      </w:r>
      <w:r w:rsidR="004E2B31" w:rsidRPr="00AF3EDA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право собственности на имущество должно быть зарегистрировано в Едином государственном реестре недвижимости (ЕГРН). Регистрация права собственности также обеспечивает защиту и охрану этого права, так как оно может быть оспорено только в судебном</w:t>
      </w:r>
      <w:r w:rsidR="00800586" w:rsidRPr="00AF3EDA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="004E2B31" w:rsidRPr="00AF3EDA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порядке.</w:t>
      </w:r>
      <w:r w:rsidR="004E2B31" w:rsidRPr="00AF3EDA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br/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   </w:t>
      </w: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        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1E0D3A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До 1 марта 2031 года установлена упрощенная процедура постановки на учет и регистрации прав на жилые дома, расположенные на земельных участках, предназначенных для индивидуального жилищного строительства, ведения гражданами садоводства или личного подсобного хозяйства в границах населенного</w:t>
      </w:r>
      <w:r w:rsidR="00567413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пункта.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br/>
      </w:r>
      <w:r w:rsidR="001E0D3A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 </w:t>
      </w: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         </w:t>
      </w:r>
      <w:r w:rsidR="001E0D3A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 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Для подачи заявлен</w:t>
      </w:r>
      <w:bookmarkStart w:id="0" w:name="_GoBack"/>
      <w:bookmarkEnd w:id="0"/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ия о государственном кадастровом учете и государственной регистрации прав</w:t>
      </w:r>
      <w:r w:rsidR="00800586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ab/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необходимы</w:t>
      </w:r>
      <w:r w:rsidR="00800586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следующие</w:t>
      </w:r>
      <w:r w:rsidR="00800586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ab/>
        <w:t xml:space="preserve"> 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документы: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br/>
      </w:r>
      <w:r w:rsidR="001E0D3A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-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технический план жилого дома;</w:t>
      </w:r>
    </w:p>
    <w:p w14:paraId="3A7892E9" w14:textId="4FDA652B" w:rsidR="004E2B31" w:rsidRPr="00AF3EDA" w:rsidRDefault="001E0D3A" w:rsidP="00D0597D">
      <w:pPr>
        <w:spacing w:after="0"/>
        <w:jc w:val="both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- 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правоустанавливающий документ на земельный участок.</w:t>
      </w:r>
    </w:p>
    <w:p w14:paraId="16B46A0F" w14:textId="1B27CD68" w:rsidR="001E4AD7" w:rsidRPr="00AF3EDA" w:rsidRDefault="004E2B31" w:rsidP="00D0597D">
      <w:pPr>
        <w:spacing w:after="0"/>
        <w:jc w:val="both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При наличии у заявителя права собственности на земельный участок, зарегистрированного в ЕГРН, с заявлением необходимо представить только технический</w:t>
      </w:r>
      <w:r w:rsidR="00E47087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ab/>
      </w: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план.</w:t>
      </w: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br/>
      </w:r>
      <w:r w:rsidR="0097711E" w:rsidRPr="00AF3EDA">
        <w:rPr>
          <w:rFonts w:eastAsia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 xml:space="preserve">            </w:t>
      </w:r>
      <w:r w:rsidRPr="00AF3EDA">
        <w:rPr>
          <w:rFonts w:eastAsia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t>Как подготовить технический план жилого дома?</w:t>
      </w:r>
      <w:r w:rsidRPr="00AF3EDA">
        <w:rPr>
          <w:rFonts w:eastAsia="Times New Roman" w:cs="Times New Roman"/>
          <w:b/>
          <w:bCs/>
          <w:i/>
          <w:iCs/>
          <w:kern w:val="0"/>
          <w:sz w:val="27"/>
          <w:szCs w:val="27"/>
          <w:lang w:eastAsia="ru-RU"/>
          <w14:ligatures w14:val="none"/>
        </w:rPr>
        <w:br/>
      </w: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Подготовка технического плана осуществляется кадастровым инженером при заключении между ним и собственником земельного участка договора подряда. Технический план может быть составлен на основании заполненной и подписанной собственником декларации об объекте недвижимости.</w:t>
      </w:r>
      <w:r w:rsidR="001E0D3A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Стоимость изготовления технического плана определяется кадастровым инженером.</w:t>
      </w:r>
    </w:p>
    <w:p w14:paraId="04B84769" w14:textId="0DD8500D" w:rsidR="001E0D3A" w:rsidRPr="00AF3EDA" w:rsidRDefault="001E0D3A" w:rsidP="00D0597D">
      <w:pPr>
        <w:spacing w:after="0"/>
        <w:jc w:val="both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E47087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ab/>
      </w: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После изготовления технического плана </w:t>
      </w:r>
      <w:r w:rsidR="0097711E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собственником </w:t>
      </w: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подается заявление</w:t>
      </w:r>
      <w:r w:rsidR="0097711E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в многофункциональный центр предоставления государственных и муниципальных услуг (МФЦ) или через личный кабинет на сайте Росреестра (при такой подаче заявления подписывать его усиленной квалифицированной электронной подписью не требуется).</w:t>
      </w:r>
    </w:p>
    <w:p w14:paraId="55D3F190" w14:textId="27A317BB" w:rsidR="004E2B31" w:rsidRPr="00AF3EDA" w:rsidRDefault="001E4AD7" w:rsidP="00D0597D">
      <w:pPr>
        <w:spacing w:after="0"/>
        <w:jc w:val="both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Регистрация права собственности на жилой дом и его постановка на государственный кадастровый учет осуществляются одновременно на основании одного</w:t>
      </w:r>
      <w:r w:rsidR="0097711E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ab/>
      </w: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заявления.</w:t>
      </w: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br/>
      </w:r>
      <w:r w:rsidR="0097711E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         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При первичной регистрации права собственности физическ</w:t>
      </w:r>
      <w:r w:rsidR="00291CC6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им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лиц</w:t>
      </w:r>
      <w:r w:rsidR="00291CC6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ом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на жилой дом, возведенный на земельном участке для ведения личного подсобного хозяйства, садоводства, индивидуального жилищного строительства размер государственной пошлины составляет 350 рублей. При переходе права на жилой дом, в том числе при наследовании,</w:t>
      </w:r>
      <w:r w:rsidR="001B60F4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размер</w:t>
      </w:r>
      <w:r w:rsidR="001B60F4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пошлины</w:t>
      </w:r>
      <w:r w:rsidR="001B60F4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составляет</w:t>
      </w:r>
      <w:r w:rsidR="001B60F4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2000</w:t>
      </w:r>
      <w:r w:rsidR="001B60F4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рублей.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br/>
      </w:r>
      <w:r w:rsidR="0097711E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         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Государственный кадастровый учет и государственная регистрация права собственности на жилой дом осуществляется в течение: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br/>
      </w: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-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5 рабочих дней с даты приема заявления в МФЦ;</w:t>
      </w:r>
    </w:p>
    <w:p w14:paraId="3EE71753" w14:textId="50BFD477" w:rsidR="004E2B31" w:rsidRPr="00AF3EDA" w:rsidRDefault="001E4AD7" w:rsidP="00D0597D">
      <w:pPr>
        <w:spacing w:after="0"/>
        <w:jc w:val="both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-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3 рабочих дн</w:t>
      </w:r>
      <w:r w:rsidR="00291CC6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я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с даты приема заявления органом регистрации прав (</w:t>
      </w:r>
      <w:r w:rsidR="00D0597D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например,</w:t>
      </w:r>
      <w:r w:rsidR="004E2B31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если заявление представлялось через личный кабинет на сайте Росреестра).</w:t>
      </w:r>
    </w:p>
    <w:p w14:paraId="2DCFFD05" w14:textId="77777777" w:rsidR="00CE7D36" w:rsidRPr="00AF3EDA" w:rsidRDefault="004E2B31" w:rsidP="00CE7D36">
      <w:pPr>
        <w:spacing w:after="0"/>
        <w:ind w:firstLine="709"/>
        <w:contextualSpacing/>
        <w:jc w:val="both"/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</w:pP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В результате постановки на государственный кадастровый учет жилого дома и государственной регистрации права собственности на него заявитель получает выписку</w:t>
      </w:r>
      <w:r w:rsidR="0097711E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>из</w:t>
      </w:r>
      <w:r w:rsidR="00E47087"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ab/>
      </w:r>
      <w:r w:rsidRPr="00AF3EDA">
        <w:rPr>
          <w:rFonts w:eastAsia="Times New Roman" w:cs="Times New Roman"/>
          <w:kern w:val="0"/>
          <w:sz w:val="27"/>
          <w:szCs w:val="27"/>
          <w:lang w:eastAsia="ru-RU"/>
          <w14:ligatures w14:val="none"/>
        </w:rPr>
        <w:t xml:space="preserve"> ЕГРН.</w:t>
      </w:r>
    </w:p>
    <w:p w14:paraId="49691AF0" w14:textId="766C24E3" w:rsidR="00CE7D36" w:rsidRDefault="00CE7D36" w:rsidP="00CE7D36">
      <w:pPr>
        <w:spacing w:after="0"/>
        <w:ind w:firstLine="709"/>
        <w:contextualSpacing/>
        <w:jc w:val="both"/>
        <w:rPr>
          <w:rFonts w:cs="Times New Roman"/>
          <w:color w:val="000000"/>
          <w:sz w:val="27"/>
          <w:szCs w:val="27"/>
          <w:shd w:val="clear" w:color="auto" w:fill="FFFFFF"/>
        </w:rPr>
      </w:pP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>В целях наполнения Единого государственного реестра недвижимости (далее – ЕГРН) сведениям о фактических собственниках</w:t>
      </w:r>
      <w:r>
        <w:rPr>
          <w:rFonts w:cs="Times New Roman"/>
          <w:color w:val="000000"/>
          <w:sz w:val="27"/>
          <w:szCs w:val="27"/>
          <w:shd w:val="clear" w:color="auto" w:fill="FFFFFF"/>
        </w:rPr>
        <w:t>,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 xml:space="preserve"> управление имущественных и земельных отношений района проводят совместную с городским и сельскими поселениями работу по выявлению правообладателей ранее учтенных объектов 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lastRenderedPageBreak/>
        <w:t>недвижимости.</w:t>
      </w:r>
      <w:r w:rsidRPr="00B96802">
        <w:rPr>
          <w:rFonts w:cs="Times New Roman"/>
          <w:color w:val="000000"/>
          <w:sz w:val="27"/>
          <w:szCs w:val="27"/>
        </w:rPr>
        <w:br/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 xml:space="preserve">            Выявление правообладателей осуществляется в отношении земельных участков, зданий, сооружений, объектов незавершенного строительства, помещений и является дополнительной мерой по защите имущества как юридических, так и физических лиц, оформивших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ab/>
        <w:t xml:space="preserve"> свои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ab/>
        <w:t xml:space="preserve"> права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ab/>
        <w:t xml:space="preserve"> много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ab/>
        <w:t xml:space="preserve"> лет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ab/>
        <w:t xml:space="preserve"> назад.</w:t>
      </w:r>
      <w:r w:rsidRPr="00B96802">
        <w:rPr>
          <w:rFonts w:cs="Times New Roman"/>
          <w:color w:val="000000"/>
          <w:sz w:val="27"/>
          <w:szCs w:val="27"/>
        </w:rPr>
        <w:br/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 xml:space="preserve">              Как гражданину понять, что он является правообладателем ранее учтенного объекта недвижимости, если у него имеются какие-либо документы на объект недвижимости и что необходимо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ab/>
        <w:t xml:space="preserve"> при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ab/>
        <w:t xml:space="preserve"> этом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ab/>
        <w:t xml:space="preserve"> учитывать:</w:t>
      </w:r>
      <w:r w:rsidRPr="00B96802">
        <w:rPr>
          <w:rFonts w:cs="Times New Roman"/>
          <w:color w:val="000000"/>
          <w:sz w:val="27"/>
          <w:szCs w:val="27"/>
        </w:rPr>
        <w:br/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 xml:space="preserve">              1) Документами, подтверждающими право на ранее учтенные земельные участки, могут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ab/>
        <w:t xml:space="preserve"> быть:</w:t>
      </w:r>
      <w:r w:rsidRPr="00B96802">
        <w:rPr>
          <w:rFonts w:cs="Times New Roman"/>
          <w:color w:val="000000"/>
          <w:sz w:val="27"/>
          <w:szCs w:val="27"/>
        </w:rPr>
        <w:br/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>- свидетельство о праве собственности на землю старого образца;</w:t>
      </w:r>
      <w:r w:rsidRPr="00B96802">
        <w:rPr>
          <w:rFonts w:cs="Times New Roman"/>
          <w:color w:val="000000"/>
          <w:sz w:val="27"/>
          <w:szCs w:val="27"/>
        </w:rPr>
        <w:br/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 xml:space="preserve">- выписка из </w:t>
      </w:r>
      <w:proofErr w:type="spellStart"/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>похозяйственной</w:t>
      </w:r>
      <w:proofErr w:type="spellEnd"/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 xml:space="preserve"> книги о наличии у гражданина права</w:t>
      </w:r>
      <w:r w:rsidRPr="00B96802">
        <w:rPr>
          <w:rFonts w:cs="Times New Roman"/>
          <w:color w:val="000000"/>
          <w:sz w:val="27"/>
          <w:szCs w:val="27"/>
        </w:rPr>
        <w:br/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>на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ab/>
        <w:t xml:space="preserve"> земельный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ab/>
        <w:t xml:space="preserve"> участок;</w:t>
      </w:r>
      <w:r w:rsidRPr="00B96802">
        <w:rPr>
          <w:rFonts w:cs="Times New Roman"/>
          <w:color w:val="000000"/>
          <w:sz w:val="27"/>
          <w:szCs w:val="27"/>
        </w:rPr>
        <w:br/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>- государственный акт, удостоверяющий право собственности на землю, пожизненного наследуемого владения, постоянного (бессрочного) пользования землей, вынесенный до 30.10.2001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ab/>
        <w:t xml:space="preserve"> г. до начала действия Земельного кодекса РФ;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br/>
        <w:t>- решение уполномоченного органа (организации) о предоставлении земельного участка;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br/>
        <w:t>-договор аренды земельного участка, срок которого не истек.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br/>
        <w:t xml:space="preserve">              2) Права на ранее учтенные объекты капитального строительства (здания, сооружения, объекты незавершенного строительства) могут быть подтверждены документами, выданными до 31.01.1998 органами государственной власти и местного самоуправления, технической инвентаризации, нотариусами, а также права, возникающие в силу закона, независимо от момента государственной регистрации в ЕГРН: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br/>
        <w:t>- договоры купли-продажи, мены, дарения, зарегистрированные до 31.01.1998 в органе технической инвентаризации (БТИ) (нотариально удостоверенные);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br/>
        <w:t>- договор передачи жилых помещений в собственность граждан (договор приватизации), зарегистрированный до 31.01.1998 в исполнительном комитете районного, городского Совета народных депутатов или в БТИ (план приватизации – для юридических лиц);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br/>
        <w:t>- технический документ, составленный в соответствии с требованиями законодательства до 01.01.2013 (в отношении нежилых зданий, жилых домов, многоквартирных домов, жилых и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ab/>
        <w:t xml:space="preserve"> нежилых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ab/>
        <w:t xml:space="preserve"> помещений);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br/>
        <w:t>- свидетельство о праве на наследство;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br/>
        <w:t>- справка о полном внесении членом кооператива паевого взноса за квартиру, дачу, гараж, иное помещение, предоставленное кооперативом этому лицу;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br/>
        <w:t>- выписка из реестра муниципального или государственного имущества.</w:t>
      </w:r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br/>
        <w:t xml:space="preserve">              Управление имущественных и земельных отношений Красногвардейского района рекомендует гражданам пройти бесплатную процедуру, для этого нужно обратиться в Росреестр с заявлением о государственной регистрации ранее возникшего права, прийти в МФЦ с паспортом и правоустанавливающим документом, в администрацию поселения или в управления имущественных и земельных отношений администрации района по адресу: г. Бирюч, пл. Соборная, 1, </w:t>
      </w:r>
      <w:proofErr w:type="spellStart"/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>каб</w:t>
      </w:r>
      <w:proofErr w:type="spellEnd"/>
      <w:r w:rsidRPr="00B96802">
        <w:rPr>
          <w:rFonts w:cs="Times New Roman"/>
          <w:color w:val="000000"/>
          <w:sz w:val="27"/>
          <w:szCs w:val="27"/>
          <w:shd w:val="clear" w:color="auto" w:fill="FFFFFF"/>
        </w:rPr>
        <w:t>. 10. После регистрации право собственности гражданина защищается государством.</w:t>
      </w:r>
    </w:p>
    <w:p w14:paraId="44A03575" w14:textId="603B486B" w:rsidR="004E2B31" w:rsidRPr="00E47087" w:rsidRDefault="004E2B31" w:rsidP="00D0597D">
      <w:pPr>
        <w:spacing w:after="0"/>
        <w:jc w:val="both"/>
        <w:rPr>
          <w:rFonts w:cs="Times New Roman"/>
          <w:szCs w:val="28"/>
        </w:rPr>
      </w:pPr>
      <w:r w:rsidRPr="00E47087">
        <w:rPr>
          <w:rFonts w:eastAsia="Times New Roman" w:cs="Times New Roman"/>
          <w:color w:val="292C2F"/>
          <w:kern w:val="0"/>
          <w:sz w:val="27"/>
          <w:szCs w:val="27"/>
          <w:lang w:eastAsia="ru-RU"/>
          <w14:ligatures w14:val="none"/>
        </w:rPr>
        <w:br/>
      </w:r>
    </w:p>
    <w:sectPr w:rsidR="004E2B31" w:rsidRPr="00E47087" w:rsidSect="0097711E">
      <w:pgSz w:w="11906" w:h="16838" w:code="9"/>
      <w:pgMar w:top="851" w:right="851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D6A66"/>
    <w:multiLevelType w:val="multilevel"/>
    <w:tmpl w:val="32FA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3201D"/>
    <w:multiLevelType w:val="multilevel"/>
    <w:tmpl w:val="826C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4B5B85"/>
    <w:multiLevelType w:val="multilevel"/>
    <w:tmpl w:val="A054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AA"/>
    <w:rsid w:val="001A0B28"/>
    <w:rsid w:val="001B60F4"/>
    <w:rsid w:val="001E0D3A"/>
    <w:rsid w:val="001E4AD7"/>
    <w:rsid w:val="00236C59"/>
    <w:rsid w:val="00254CAA"/>
    <w:rsid w:val="00291CC6"/>
    <w:rsid w:val="00405ACD"/>
    <w:rsid w:val="004E2B31"/>
    <w:rsid w:val="00567413"/>
    <w:rsid w:val="006B1F45"/>
    <w:rsid w:val="006C0B77"/>
    <w:rsid w:val="00701441"/>
    <w:rsid w:val="007B5802"/>
    <w:rsid w:val="00800586"/>
    <w:rsid w:val="008242FF"/>
    <w:rsid w:val="00870751"/>
    <w:rsid w:val="00922C48"/>
    <w:rsid w:val="00973131"/>
    <w:rsid w:val="0097711E"/>
    <w:rsid w:val="00A42D78"/>
    <w:rsid w:val="00AF3EDA"/>
    <w:rsid w:val="00B915B7"/>
    <w:rsid w:val="00B96802"/>
    <w:rsid w:val="00BD696D"/>
    <w:rsid w:val="00CE7D36"/>
    <w:rsid w:val="00D0597D"/>
    <w:rsid w:val="00D85618"/>
    <w:rsid w:val="00D91A59"/>
    <w:rsid w:val="00DF3C6F"/>
    <w:rsid w:val="00E47087"/>
    <w:rsid w:val="00EA59DF"/>
    <w:rsid w:val="00EE4070"/>
    <w:rsid w:val="00EF3990"/>
    <w:rsid w:val="00F12C76"/>
    <w:rsid w:val="00F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CF7F"/>
  <w15:chartTrackingRefBased/>
  <w15:docId w15:val="{F8308469-D76B-4806-BCE9-912DB214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2024-10-03T11:36:00Z</cp:lastPrinted>
  <dcterms:created xsi:type="dcterms:W3CDTF">2024-09-26T10:47:00Z</dcterms:created>
  <dcterms:modified xsi:type="dcterms:W3CDTF">2024-10-09T05:21:00Z</dcterms:modified>
</cp:coreProperties>
</file>